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340A" w:rsidRDefault="00D965BB">
      <w:pPr>
        <w:shd w:val="clear" w:color="auto" w:fill="FFFFFF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DODATAK III</w:t>
      </w:r>
    </w:p>
    <w:p w14:paraId="00000002" w14:textId="77777777" w:rsidR="008A340A" w:rsidRDefault="00D965BB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TEMELJNOM KOLEKTIVNOM UGOVORU</w:t>
      </w:r>
    </w:p>
    <w:p w14:paraId="00000003" w14:textId="77777777" w:rsidR="008A340A" w:rsidRDefault="00D965BB">
      <w:pPr>
        <w:shd w:val="clear" w:color="auto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SLUŽBENIKE I NAMJEŠTENIKE U JAVNIM SLUŽBAMA</w:t>
      </w:r>
    </w:p>
    <w:p w14:paraId="00000004" w14:textId="77777777" w:rsidR="008A340A" w:rsidRDefault="008A340A">
      <w:pPr>
        <w:shd w:val="clear" w:color="auto" w:fill="FFFFFF"/>
        <w:spacing w:after="0"/>
        <w:jc w:val="both"/>
        <w:rPr>
          <w:sz w:val="24"/>
          <w:szCs w:val="24"/>
        </w:rPr>
      </w:pPr>
    </w:p>
    <w:p w14:paraId="00000005" w14:textId="77777777" w:rsidR="008A340A" w:rsidRDefault="00D965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Dodatkom III. Temeljnom kolektivnom ugovoru za službenike i namještenike u javnim službama, koji je potpisan </w:t>
      </w:r>
      <w:r>
        <w:rPr>
          <w:sz w:val="24"/>
          <w:szCs w:val="24"/>
        </w:rPr>
        <w:t xml:space="preserve">25. listopada 2023. godine, </w:t>
      </w:r>
      <w:r>
        <w:rPr>
          <w:sz w:val="24"/>
          <w:szCs w:val="24"/>
          <w:highlight w:val="white"/>
        </w:rPr>
        <w:t>mijenja se i dopunjuje Temeljni kolektivni ugovor za službenike i namještenike u javnim službama te uređuju materijalna prava službenika i namještenika u javnim službama.</w:t>
      </w:r>
      <w:r>
        <w:rPr>
          <w:sz w:val="24"/>
          <w:szCs w:val="24"/>
        </w:rPr>
        <w:t xml:space="preserve"> </w:t>
      </w:r>
    </w:p>
    <w:p w14:paraId="00000006" w14:textId="77777777" w:rsidR="008A340A" w:rsidRDefault="008A340A">
      <w:pPr>
        <w:spacing w:after="0"/>
        <w:jc w:val="both"/>
        <w:rPr>
          <w:sz w:val="24"/>
          <w:szCs w:val="24"/>
        </w:rPr>
      </w:pPr>
    </w:p>
    <w:p w14:paraId="00000007" w14:textId="77777777" w:rsidR="008A340A" w:rsidRDefault="00D965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Dodatkom III Temeljnom kolektivnom ugovoru ugovoreno je povećanje osnovice za izrač</w:t>
      </w:r>
      <w:r>
        <w:rPr>
          <w:sz w:val="24"/>
          <w:szCs w:val="24"/>
        </w:rPr>
        <w:t xml:space="preserve">un plaće od 5% od 1. listopada 2023. godine (osnovica za izračun plaće od 1. listopada 2023. godine iznosi 947,18 eura, plaća za mjesec listopad koja se isplaćuje u studenom), povećanje božićnice s 232,27 eura na 300,00 eura, ugovoren je i regres u iznosu </w:t>
      </w:r>
      <w:r>
        <w:rPr>
          <w:sz w:val="24"/>
          <w:szCs w:val="24"/>
        </w:rPr>
        <w:t>od 300,00 eura (budući da je iznos regresa za 2023. godinu bio utvrđen Memorandumom o razumijevanju i Odlukom Vlade RH) te iznos novougovorenog materijalnog prava uskrsnice od 100,00 eura.</w:t>
      </w:r>
    </w:p>
    <w:p w14:paraId="00000008" w14:textId="77777777" w:rsidR="008A340A" w:rsidRDefault="008A340A">
      <w:pPr>
        <w:spacing w:after="0"/>
        <w:jc w:val="both"/>
        <w:rPr>
          <w:sz w:val="24"/>
          <w:szCs w:val="24"/>
        </w:rPr>
      </w:pPr>
    </w:p>
    <w:p w14:paraId="00000009" w14:textId="77777777" w:rsidR="008A340A" w:rsidRDefault="00D965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Također je ugovoreno da će se, u slučaju da propisi kojima se uređ</w:t>
      </w:r>
      <w:r>
        <w:rPr>
          <w:sz w:val="24"/>
          <w:szCs w:val="24"/>
        </w:rPr>
        <w:t>uju plaće u državnoj službi i javnim službama i to novi Zakon o plaćama u državnoj službi i javnim službama te dvije uredbe kojima se utvrđuju nazivi radnih mjesta, uvjeti za raspored, klasifikacija radnih mjesta i pripadajući platni razred te koeficijenti</w:t>
      </w:r>
      <w:r>
        <w:rPr>
          <w:sz w:val="24"/>
          <w:szCs w:val="24"/>
        </w:rPr>
        <w:t xml:space="preserve"> za obračun plaće u državnoj službi i javnim službama, ne stupe na snagu do 1. ožujka 2024. godine, pristupiti pregovorima za osnovicu u 2024. godini. </w:t>
      </w:r>
    </w:p>
    <w:p w14:paraId="0000000A" w14:textId="77777777" w:rsidR="008A340A" w:rsidRDefault="008A340A">
      <w:pPr>
        <w:spacing w:after="0"/>
        <w:jc w:val="both"/>
        <w:rPr>
          <w:sz w:val="24"/>
          <w:szCs w:val="24"/>
        </w:rPr>
      </w:pPr>
    </w:p>
    <w:p w14:paraId="0000000B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Nadalje, Dodatkom III dopunjen je članak 37. Temeljnog kolektivnog ugovora koji uređuje pitanje naknade</w:t>
      </w:r>
      <w:r>
        <w:rPr>
          <w:sz w:val="24"/>
          <w:szCs w:val="24"/>
        </w:rPr>
        <w:t xml:space="preserve"> plaće za vrijeme bolovanja, na način da se </w:t>
      </w:r>
      <w:r>
        <w:rPr>
          <w:sz w:val="24"/>
          <w:szCs w:val="24"/>
          <w:highlight w:val="white"/>
        </w:rPr>
        <w:t>pod naknadom plaće iz stavka 7. (</w:t>
      </w:r>
      <w:r>
        <w:rPr>
          <w:highlight w:val="white"/>
        </w:rPr>
        <w:t xml:space="preserve">Ako je u prethodna tri mjeseca zaposlenik za dio razdoblja ili za cijelo razdoblje ostvario pravo na naknadu plaće, tada mu se za to vrijeme obračunava naknada plaće u visini kao </w:t>
      </w:r>
      <w:r>
        <w:rPr>
          <w:highlight w:val="white"/>
        </w:rPr>
        <w:t xml:space="preserve">da je radio u redovnom radnom vremenu i kao takva uračunava u prosjek iz stavka 5.) </w:t>
      </w:r>
      <w:r>
        <w:rPr>
          <w:sz w:val="24"/>
          <w:szCs w:val="24"/>
          <w:highlight w:val="white"/>
        </w:rPr>
        <w:t xml:space="preserve">podrazumijeva naknada plaće isplaćena za vrijeme bolovanja, odnosno ona naknada plaće čiji je iznos manji od visine naknade plaće koju bi zaposlenik ostvario da je radio u </w:t>
      </w:r>
      <w:r>
        <w:rPr>
          <w:sz w:val="24"/>
          <w:szCs w:val="24"/>
          <w:highlight w:val="white"/>
        </w:rPr>
        <w:t>redovnom radnom vremenu.</w:t>
      </w:r>
    </w:p>
    <w:p w14:paraId="0000000C" w14:textId="77777777" w:rsidR="008A340A" w:rsidRDefault="00D965BB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Što se tiče prava na plaćeni dopust, Dodatak III. proširuje prava zaposlenika u javnim službama. Članak 43. dopunjen je na način da zaposlenici ostvaruju pravo na plaćeni dopust za slučajeve odsutnosti s posla kada je zbog osobito</w:t>
      </w:r>
      <w:r>
        <w:rPr>
          <w:sz w:val="24"/>
          <w:szCs w:val="24"/>
          <w:highlight w:val="white"/>
        </w:rPr>
        <w:t xml:space="preserve"> važnog i hitnog obiteljskog razloga uzrokovanog bolešću ili nesretnim slučajem prijeko potrebna njegova trenutna nazočnost i to ukupno tri dana tijekom jedne kalendarske godine. </w:t>
      </w:r>
    </w:p>
    <w:p w14:paraId="0000000D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Sukladno Temeljnom kolektivnom ugovoru zaposlenik ima pravo na plaćeni dopus</w:t>
      </w:r>
      <w:r>
        <w:rPr>
          <w:sz w:val="24"/>
          <w:szCs w:val="24"/>
          <w:highlight w:val="white"/>
        </w:rPr>
        <w:t xml:space="preserve">t za svaki smrtni slučaj i svako darivanje krvi neovisno o broju dana koje je tijekom iste kalendarske godine iskoristio po drugim osnovama, a Dodatkom III ugovoreno je da se navedeno odnosi i za svaki slučaj odsutnosti s posla kada je zbog osobito važnog </w:t>
      </w:r>
      <w:r>
        <w:rPr>
          <w:sz w:val="24"/>
          <w:szCs w:val="24"/>
          <w:highlight w:val="white"/>
        </w:rPr>
        <w:t>i hitnog obiteljskog razloga uzrokovanog bolešću ili nesretnim slučajem prijeko potrebna njegova trenutna nazočnost.</w:t>
      </w:r>
    </w:p>
    <w:p w14:paraId="0000000E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Člankom 44. a ugovoreno je i pravo zaposlenika na dopust za pružanje osobne skrbi. Zaposlenik ima pravo na neplaćeni dopust u ukupnom traja</w:t>
      </w:r>
      <w:r>
        <w:rPr>
          <w:sz w:val="24"/>
          <w:szCs w:val="24"/>
          <w:highlight w:val="white"/>
        </w:rPr>
        <w:t>nju od 5 radnih dana za pružanje osobne srbi. Pod pružanjem osobne skrbi smatra se skrb koju zaposlenik pruža članu uže obitelji ili osobi koja živi u istom kućanstvu i koja joj je potrebna zbog ozbiljnog zdravstvenog razloga. Pod istim kućanstvom smatra s</w:t>
      </w:r>
      <w:r>
        <w:rPr>
          <w:sz w:val="24"/>
          <w:szCs w:val="24"/>
          <w:highlight w:val="white"/>
        </w:rPr>
        <w:t>e zajednica osoba određena propisom kojim se uređuje socijalna skrb. Poslodavac može, u svrhu odobravanja prava na dopust za pružanje osobne skrbi, od zaposlenika zatražiti dokaz o postojanju ozbiljnog zdravstvenog razloga osobe kojoj zaposlenik pruža skrb</w:t>
      </w:r>
      <w:r>
        <w:rPr>
          <w:sz w:val="24"/>
          <w:szCs w:val="24"/>
          <w:highlight w:val="white"/>
        </w:rPr>
        <w:t xml:space="preserve">, a tijekom razdoblja korištenja prava na pružanje iste, poslodavac ne smije zaposlenika koji se tim pravo koristi, odjaviti iz obveznih osiguranja. </w:t>
      </w:r>
    </w:p>
    <w:p w14:paraId="0000000F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Dodatak III. donosi promjene u vezi sa sankcijama odnosno utvrđuje vremensko važenje pisanog upozorenja n</w:t>
      </w:r>
      <w:r>
        <w:rPr>
          <w:sz w:val="24"/>
          <w:szCs w:val="24"/>
          <w:highlight w:val="white"/>
        </w:rPr>
        <w:t xml:space="preserve">a obvezu iz radnog odnosa (članak 46. a). Pisano upozorenje poslodavca prije redovitog otkazivanja ugovora o radu uvjetovanog ponašanjem zaposlenika briše se iz evidencije nakon tri godine od dana njegovog uručenja zaposleniku te se istekom toga razdoblja </w:t>
      </w:r>
      <w:r>
        <w:rPr>
          <w:sz w:val="24"/>
          <w:szCs w:val="24"/>
          <w:highlight w:val="white"/>
        </w:rPr>
        <w:t>smatra kao da takvog upozorenja nije bilo. Navedeno pomaže zaštiti zaposlenika od negativnih posljedica prošlih incidenata ili ponašanja.</w:t>
      </w:r>
    </w:p>
    <w:p w14:paraId="00000010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U pogledu obrazovanja, dopunjen je članak 52. st. 2. na način da će se osnovna plaća zaposlenika uvećati za 5 % ako z</w:t>
      </w:r>
      <w:r>
        <w:rPr>
          <w:sz w:val="24"/>
          <w:szCs w:val="24"/>
          <w:highlight w:val="white"/>
        </w:rPr>
        <w:t>aposlenik ima završen sveučilišni specijalistički studij (spec. i univ. spec. – razina VII.2. Hrvatskog klasifikacijskog okvira ili završen poslijediplomski stručni studij koji se izvodi na sveučilištu – kratica mr. uz naznaku struke – predbolonjski studij</w:t>
      </w:r>
      <w:r>
        <w:rPr>
          <w:sz w:val="24"/>
          <w:szCs w:val="24"/>
          <w:highlight w:val="white"/>
        </w:rPr>
        <w:t xml:space="preserve">i), 8 % ako zaposlenik ima znanstveni stupanj magistra znanosti, odnosno za 15 % ako zaposlenik ima znanstveni stupanj doktora znanosti, neovisno o tome je li poslijediplomski specijalistički studij, magisterij, odnosno doktorat znanosti u funkciji radnog </w:t>
      </w:r>
      <w:r>
        <w:rPr>
          <w:sz w:val="24"/>
          <w:szCs w:val="24"/>
          <w:highlight w:val="white"/>
        </w:rPr>
        <w:t>mjesta ili nije.</w:t>
      </w:r>
    </w:p>
    <w:p w14:paraId="00000011" w14:textId="77777777" w:rsidR="008A340A" w:rsidRDefault="008A340A">
      <w:pPr>
        <w:spacing w:after="0"/>
        <w:jc w:val="both"/>
        <w:rPr>
          <w:sz w:val="24"/>
          <w:szCs w:val="24"/>
          <w:highlight w:val="white"/>
        </w:rPr>
      </w:pPr>
    </w:p>
    <w:p w14:paraId="00000012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Dodatak III proširuje prava zaposlenika u pogledu naknade plaće zbog odsutnosti s rada zbog bolovanja i to do 42 dana na način da zaposleniku, neovisno o vrsti bolovanja, pripada naknada plaće u visini 85% njegove plaće kao da je radio u </w:t>
      </w:r>
      <w:r>
        <w:rPr>
          <w:sz w:val="24"/>
          <w:szCs w:val="24"/>
          <w:highlight w:val="white"/>
        </w:rPr>
        <w:t>redovnom radnom vremenu ili u visini 85% njegove prosječne mjesečne plaće ostvarene u tri mjeseca neposredno prije mjeseca u kojemu je započeto bolovanje (uračunavajući sva primanja u novcu i naravi koja predstavljaju naknadu za rad) ako je to povoljnije z</w:t>
      </w:r>
      <w:r>
        <w:rPr>
          <w:sz w:val="24"/>
          <w:szCs w:val="24"/>
          <w:highlight w:val="white"/>
        </w:rPr>
        <w:t xml:space="preserve">a zaposlenika. </w:t>
      </w:r>
    </w:p>
    <w:p w14:paraId="00000013" w14:textId="77777777" w:rsidR="008A340A" w:rsidRDefault="00D965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Nadalje, naknada plaće u visini 100% iznosa njegove prosječne mjesečne plaće </w:t>
      </w:r>
      <w:r>
        <w:rPr>
          <w:sz w:val="24"/>
          <w:szCs w:val="24"/>
        </w:rPr>
        <w:t>ostvarene u tri mjeseca neposredno prije mjeseca u kojemu je započeto bolovanje, pripada zaposleniku kada je na bolovanju zbog profesionalne bolesti ili ozljede na</w:t>
      </w:r>
      <w:r>
        <w:rPr>
          <w:sz w:val="24"/>
          <w:szCs w:val="24"/>
        </w:rPr>
        <w:t xml:space="preserve"> radu, i to za vrijeme trajanja bolovanja zbog profesionalne bolesti ili ozljede na radu. Ako je u tri mjeseca koja prethode mjesecu u kojemu je započeto bolovanje zaposlenik za dio razdoblja ili za cijelo razdoblje ostvario pravo na naknadu plaće, tada mu</w:t>
      </w:r>
      <w:r>
        <w:rPr>
          <w:sz w:val="24"/>
          <w:szCs w:val="24"/>
        </w:rPr>
        <w:t xml:space="preserve"> se za to vrijeme obračunava naknada plaće u visini kao da je radio u redovnom radnom vremenu i kao takva uračunava u spomenuti prosjek, a ukoliko je posebnim propisima pravo na naknadu plaće iz ovoga članka uređeno na povoljniji način, na zaposlenika će s</w:t>
      </w:r>
      <w:r>
        <w:rPr>
          <w:sz w:val="24"/>
          <w:szCs w:val="24"/>
        </w:rPr>
        <w:t>e primijeniti to povoljnije pravo.</w:t>
      </w:r>
    </w:p>
    <w:p w14:paraId="00000014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Vezano uz navedeno Povjerenstvo za tumačenje Temeljnog kolektivnog ugovora za službenike i namještenike u javnim službama donijelo je dva tumačenja. </w:t>
      </w:r>
    </w:p>
    <w:p w14:paraId="00000015" w14:textId="77777777" w:rsidR="008A340A" w:rsidRDefault="00D965BB">
      <w:pPr>
        <w:spacing w:after="0"/>
        <w:jc w:val="both"/>
        <w:rPr>
          <w:i/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Tumačenje br. 151/23 od 9. studenoga 2023.</w:t>
      </w:r>
      <w:r>
        <w:rPr>
          <w:sz w:val="24"/>
          <w:szCs w:val="24"/>
          <w:highlight w:val="white"/>
        </w:rPr>
        <w:t xml:space="preserve">: </w:t>
      </w:r>
      <w:r>
        <w:rPr>
          <w:i/>
          <w:sz w:val="24"/>
          <w:szCs w:val="24"/>
          <w:highlight w:val="white"/>
        </w:rPr>
        <w:t xml:space="preserve">Sukladno članku 57. stavku </w:t>
      </w:r>
      <w:r>
        <w:rPr>
          <w:i/>
          <w:sz w:val="24"/>
          <w:szCs w:val="24"/>
          <w:highlight w:val="white"/>
        </w:rPr>
        <w:t>TKU-a, ako je zaposlenik odsutan s rada zbog bolovanja do 42 dana, neovisno o vrsti bolovanja, pripada mu naknada plaće u visini 85% njegove plaće kao da je radio u redovnom radnom vremenu ili u visini 85% njegove prosječne mjesečne plaće ostvarene u tri m</w:t>
      </w:r>
      <w:r>
        <w:rPr>
          <w:i/>
          <w:sz w:val="24"/>
          <w:szCs w:val="24"/>
          <w:highlight w:val="white"/>
        </w:rPr>
        <w:t>jeseca neposredno prije mjeseca u kojemu je započeto bolovanje (uračunavajući sva primanja u novcu i naravi koja predstavljaju naknadu za rad), ako je to povoljnije za zaposlenika. Pod vrstom bolovanja smatraju se sve vrste bolovanja koje odredi izabrani l</w:t>
      </w:r>
      <w:r>
        <w:rPr>
          <w:i/>
          <w:sz w:val="24"/>
          <w:szCs w:val="24"/>
          <w:highlight w:val="white"/>
        </w:rPr>
        <w:t>iječnik sukladno posebnom propisu. Sukladno članku 57. stavku 4. TKU-a, ako je posebnim propisima pravo na naknadu plaće iz ovoga članka uređeno na povoljniji način, na zaposlenika će se primijeniti to povoljnije pravo.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  <w:highlight w:val="white"/>
        </w:rPr>
        <w:t>Sukladno članku 57. TKU-a, za obraču</w:t>
      </w:r>
      <w:r>
        <w:rPr>
          <w:i/>
          <w:sz w:val="24"/>
          <w:szCs w:val="24"/>
          <w:highlight w:val="white"/>
        </w:rPr>
        <w:t>n naknade za vrijeme bolovanja uzimaju se prosječne mjesečne plaće zaposlenika ostvarene u tri mjeseca neposredno prije mjeseca u kojem je započeto bolovanje. Primjerice, kod bolovanja koje je započelo u mjesecu srpnju u prosjek za obračun naknade ulaze pl</w:t>
      </w:r>
      <w:r>
        <w:rPr>
          <w:i/>
          <w:sz w:val="24"/>
          <w:szCs w:val="24"/>
          <w:highlight w:val="white"/>
        </w:rPr>
        <w:t>aće za travanj, svibanj i lipanj, a kod bolovanja koje je započeto u mjesecu kolovozu u prosjek za obračun naknade ulaze plaće za svibanj, lipanj i srpanj. Sukladno članku 57. stavku 1. TKU-a, za obračun naknade za vrijeme bolovanja koje je započeto u jedn</w:t>
      </w:r>
      <w:r>
        <w:rPr>
          <w:i/>
          <w:sz w:val="24"/>
          <w:szCs w:val="24"/>
          <w:highlight w:val="white"/>
        </w:rPr>
        <w:t>om mjesecu i nastavilo se u sljedeći mjesec (neprekinuto bolovanje) uzimaju se prosječne mjesečne plaće zaposlenika ostvarene u tri mjeseca neposredno prije mjeseca u kojem je započeto bolovanje. Primjerice kod bolovanja koje je započeto u mjesecu srpnju i</w:t>
      </w:r>
      <w:r>
        <w:rPr>
          <w:i/>
          <w:sz w:val="24"/>
          <w:szCs w:val="24"/>
          <w:highlight w:val="white"/>
        </w:rPr>
        <w:t xml:space="preserve"> nastavljeno u mjesecu kolovozu (u kontinuitetu), u prosjek za obračun naknade ulaze plaće za travanj, svibanj i lipanj jer je kontinuirano bolovanje započeto u mjesecu srpnju.</w:t>
      </w:r>
      <w:r>
        <w:rPr>
          <w:i/>
          <w:sz w:val="24"/>
          <w:szCs w:val="24"/>
        </w:rPr>
        <w:br/>
      </w:r>
      <w:r>
        <w:rPr>
          <w:sz w:val="24"/>
          <w:szCs w:val="24"/>
          <w:highlight w:val="white"/>
          <w:u w:val="single"/>
        </w:rPr>
        <w:t>Tumačenje br. 153/23 od 28. studenoga 2023.</w:t>
      </w:r>
      <w:r>
        <w:rPr>
          <w:sz w:val="24"/>
          <w:szCs w:val="24"/>
          <w:highlight w:val="white"/>
        </w:rPr>
        <w:t xml:space="preserve">: </w:t>
      </w:r>
      <w:r>
        <w:rPr>
          <w:i/>
          <w:sz w:val="24"/>
          <w:szCs w:val="24"/>
          <w:highlight w:val="white"/>
        </w:rPr>
        <w:t xml:space="preserve">Sukladno članku 57. TKU-a, ako je </w:t>
      </w:r>
      <w:r>
        <w:rPr>
          <w:i/>
          <w:sz w:val="24"/>
          <w:szCs w:val="24"/>
          <w:highlight w:val="white"/>
        </w:rPr>
        <w:t>zaposlenik odsutan s rada zbog bolovanja do 42 dana, neovisno o vrsti bolovanja, pripada mu naknada plaće u visini 85% njegove plaće kao da je radio u redovnom radnom vremenu ili u visini 85% njegove prosječne mjesečne plaće ostvarene u tri mjeseca neposre</w:t>
      </w:r>
      <w:r>
        <w:rPr>
          <w:i/>
          <w:sz w:val="24"/>
          <w:szCs w:val="24"/>
          <w:highlight w:val="white"/>
        </w:rPr>
        <w:t>dno prije mjeseca u kojemu je započeto bolovanje (uračunavajući sva primanja u novcu i naravi koja predstavljaju naknadu za rad), ako je to povoljnije za zaposlenika. Pod vrstom bolovanja smatraju se sve vrste bolovanja koje odredi izabrani liječnik suklad</w:t>
      </w:r>
      <w:r>
        <w:rPr>
          <w:i/>
          <w:sz w:val="24"/>
          <w:szCs w:val="24"/>
          <w:highlight w:val="white"/>
        </w:rPr>
        <w:t>no posebnom propisu, neovisno o tome na čiji teret se naknada za bolovanje isplaćuje (na teret poslodavca ili na teret HZZO-a). Dakle, navedene odredbe odnose se i na bolovanje zbog komplikacija u trudnoći, njege djeteta i sl., u kojem slučaju naknada za b</w:t>
      </w:r>
      <w:r>
        <w:rPr>
          <w:i/>
          <w:sz w:val="24"/>
          <w:szCs w:val="24"/>
          <w:highlight w:val="white"/>
        </w:rPr>
        <w:t>olovanje ide na teret HZZO-a od prvog dana bolovanja. Ako se u navedenim slučajevima dogodi da je naknada za bolovanje koju isplaćuje HZZO manja od naknade za bolovanje koju bi prema odredbama članka 57. TKU-a trebao isplatiti poslodavac, poslodavac je duž</w:t>
      </w:r>
      <w:r>
        <w:rPr>
          <w:i/>
          <w:sz w:val="24"/>
          <w:szCs w:val="24"/>
          <w:highlight w:val="white"/>
        </w:rPr>
        <w:t>an zaposleniku isplatiti razliku naknade plaće s te osnove. U svrhu izračuna i isplate razlike naknade plaće za bolovanje, zaposlenik je dužan poslodavcu dostaviti dokaz o visini naknade za bolovanje isplaćene od strane HZZO-a (izvadak/ispis s tekućeg raču</w:t>
      </w:r>
      <w:r>
        <w:rPr>
          <w:i/>
          <w:sz w:val="24"/>
          <w:szCs w:val="24"/>
          <w:highlight w:val="white"/>
        </w:rPr>
        <w:t>na zaposlenika iz kojeg je vidljiva uplata HZZO-a s osnove naknade za bolovanje).</w:t>
      </w:r>
    </w:p>
    <w:p w14:paraId="00000016" w14:textId="77777777" w:rsidR="008A340A" w:rsidRDefault="008A340A">
      <w:pPr>
        <w:spacing w:after="0"/>
        <w:jc w:val="both"/>
        <w:rPr>
          <w:sz w:val="24"/>
          <w:szCs w:val="24"/>
        </w:rPr>
      </w:pPr>
    </w:p>
    <w:p w14:paraId="00000017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Dodatak III. </w:t>
      </w:r>
      <w:hyperlink r:id="rId5">
        <w:r>
          <w:rPr>
            <w:color w:val="000000"/>
            <w:sz w:val="24"/>
            <w:szCs w:val="24"/>
            <w:highlight w:val="white"/>
          </w:rPr>
          <w:t>člankom 57. a Temeljnom kolektivnom ugovoru</w:t>
        </w:r>
      </w:hyperlink>
      <w:r>
        <w:rPr>
          <w:sz w:val="24"/>
          <w:szCs w:val="24"/>
          <w:highlight w:val="white"/>
        </w:rPr>
        <w:t xml:space="preserve"> uređuje naknadu za vrijeme prekida rada zbog izvanrednih okolnosti i to znatno povoljnije nego li je to propisano </w:t>
      </w:r>
      <w:r>
        <w:rPr>
          <w:sz w:val="24"/>
          <w:szCs w:val="24"/>
          <w:highlight w:val="white"/>
        </w:rPr>
        <w:lastRenderedPageBreak/>
        <w:t>Zakonom o radu. Naime, za vrijeme prekida rada do kojeg je došlo u slučaju nastanka izvanrednih okolnosti nastalih uslijed epidemije, bolesti</w:t>
      </w:r>
      <w:r>
        <w:rPr>
          <w:sz w:val="24"/>
          <w:szCs w:val="24"/>
          <w:highlight w:val="white"/>
        </w:rPr>
        <w:t xml:space="preserve">, potresa, poplave, ekološkog incidenta i sličnih pojava, zaposlenik ima pravo na naknadu plaće u visini njegove prosječne plaće ostvarene u tri mjeseca neposredno prije mjeseca u kojemu je nastala izvanredna okolnost (uračunavajući sva primanja u novcu i </w:t>
      </w:r>
      <w:r>
        <w:rPr>
          <w:sz w:val="24"/>
          <w:szCs w:val="24"/>
          <w:highlight w:val="white"/>
        </w:rPr>
        <w:t>naravi koja predstavljaju naknadu za rad) ili u visini kao da je radio u redovnom radnom vremenu, ovisno o tome što je za zaposlenika povoljnije.</w:t>
      </w:r>
    </w:p>
    <w:p w14:paraId="00000018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Dodatno, Dodatak III prava ugovorena člankom 61. utvrđuje i za izvanbračnog druga ili životnog partnera zapos</w:t>
      </w:r>
      <w:r>
        <w:rPr>
          <w:sz w:val="24"/>
          <w:szCs w:val="24"/>
          <w:highlight w:val="white"/>
        </w:rPr>
        <w:t xml:space="preserve">lenika. </w:t>
      </w:r>
    </w:p>
    <w:p w14:paraId="00000019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Člankom 66. a ugovorena je naknada troškova u slučaju rada na izdvojenom mjestu rada te zaposlenik ima pravo na naknadu troškova nastalih zbog obavljanja posla na izdvojenom mjestu rada, po danu, u iznosu koji je neoporeziv u skladu s posebnim pr</w:t>
      </w:r>
      <w:r>
        <w:rPr>
          <w:sz w:val="24"/>
          <w:szCs w:val="24"/>
          <w:highlight w:val="white"/>
        </w:rPr>
        <w:t>opisom o porezu na dohodak, ako je takav rad ugovoren kao stalan ili kada razdoblje tijekom jednog kalendarskog mjeseca traje duže od sedam radnih dana.</w:t>
      </w:r>
    </w:p>
    <w:p w14:paraId="0000001A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Naknada se zaposleniku isplaćuje najkasnije s isplatom plaće koja se zaposleniku isplaćuje za prethodni mjesec. </w:t>
      </w:r>
    </w:p>
    <w:p w14:paraId="0000001B" w14:textId="77777777" w:rsidR="008A340A" w:rsidRDefault="008A340A">
      <w:pPr>
        <w:spacing w:after="0"/>
        <w:jc w:val="both"/>
        <w:rPr>
          <w:sz w:val="24"/>
          <w:szCs w:val="24"/>
          <w:highlight w:val="white"/>
        </w:rPr>
      </w:pPr>
    </w:p>
    <w:p w14:paraId="0000001C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Što se tiče godišnje nagrade za uskršnje blagdane utvrđen je iznos za 2024. godinu i omogućava pregovore o visini te nagrade svake godine. </w:t>
      </w:r>
    </w:p>
    <w:p w14:paraId="0000001D" w14:textId="77777777" w:rsidR="008A340A" w:rsidRDefault="008A340A">
      <w:pPr>
        <w:spacing w:after="0"/>
        <w:jc w:val="both"/>
        <w:rPr>
          <w:sz w:val="24"/>
          <w:szCs w:val="24"/>
          <w:highlight w:val="white"/>
        </w:rPr>
      </w:pPr>
    </w:p>
    <w:p w14:paraId="0000001E" w14:textId="77777777" w:rsidR="008A340A" w:rsidRDefault="00D965BB">
      <w:pPr>
        <w:spacing w:after="0"/>
        <w:jc w:val="both"/>
        <w:rPr>
          <w:sz w:val="24"/>
          <w:szCs w:val="24"/>
          <w:highlight w:val="white"/>
        </w:rPr>
      </w:pPr>
      <w:bookmarkStart w:id="1" w:name="_gjdgxs" w:colFirst="0" w:colLast="0"/>
      <w:bookmarkEnd w:id="1"/>
      <w:r>
        <w:rPr>
          <w:sz w:val="24"/>
          <w:szCs w:val="24"/>
          <w:highlight w:val="white"/>
        </w:rPr>
        <w:t>N</w:t>
      </w:r>
      <w:r>
        <w:rPr>
          <w:sz w:val="24"/>
          <w:szCs w:val="24"/>
          <w:highlight w:val="white"/>
        </w:rPr>
        <w:t>a kraju, Dodatak III poboljšava mehanizam za rješavanje pritužbi u slučaju neželjenog ponašanja, osiguravajući zaposlenicima sredstva za zaštitu od takvih situacija na način da je poslodavac koji zapošljava najmanje 20 zaposlenika, dužan, uz prethodnu pisa</w:t>
      </w:r>
      <w:r>
        <w:rPr>
          <w:sz w:val="24"/>
          <w:szCs w:val="24"/>
          <w:highlight w:val="white"/>
        </w:rPr>
        <w:t>nu suglasnost osobe za koju predlaže imenovanje, imenovati jednu osobu, a poslodavac koji zapošljava više od 75 zaposlenika dužan je imenovati dvije osobe različitog spola koje su osim njega ovlaštene primati rješavati pritužbe vezane za zaštitu dostojanst</w:t>
      </w:r>
      <w:r>
        <w:rPr>
          <w:sz w:val="24"/>
          <w:szCs w:val="24"/>
          <w:highlight w:val="white"/>
        </w:rPr>
        <w:t xml:space="preserve">va zaposlenika.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  <w:highlight w:val="white"/>
        </w:rPr>
        <w:t>Dodatak III. </w:t>
      </w:r>
      <w:hyperlink r:id="rId6">
        <w:r>
          <w:rPr>
            <w:color w:val="000000"/>
            <w:sz w:val="24"/>
            <w:szCs w:val="24"/>
            <w:highlight w:val="white"/>
          </w:rPr>
          <w:t>Temeljnom kolektivnom ugovoru za službenike i namještenike u javnim službama</w:t>
        </w:r>
      </w:hyperlink>
      <w:r>
        <w:rPr>
          <w:sz w:val="24"/>
          <w:szCs w:val="24"/>
          <w:highlight w:val="white"/>
        </w:rPr>
        <w:t> predstavlja korak naprijed u osiguravanju materijalnih i socijalnih prava zapo</w:t>
      </w:r>
      <w:r>
        <w:rPr>
          <w:sz w:val="24"/>
          <w:szCs w:val="24"/>
          <w:highlight w:val="white"/>
        </w:rPr>
        <w:t>slenika u javnom sektoru u Hrvatskoj. Ove promjene pokazuju posvećenost pravdi i ravnoteži između poslovnih i obiteljskih obveza, te pružaju veću sigurnost i potporu zaposlenicima u javnom sektoru.</w:t>
      </w:r>
    </w:p>
    <w:p w14:paraId="0000001F" w14:textId="77777777" w:rsidR="008A340A" w:rsidRDefault="008A340A">
      <w:pPr>
        <w:spacing w:after="0"/>
        <w:jc w:val="both"/>
        <w:rPr>
          <w:sz w:val="24"/>
          <w:szCs w:val="24"/>
          <w:highlight w:val="white"/>
        </w:rPr>
      </w:pPr>
    </w:p>
    <w:p w14:paraId="00000020" w14:textId="77777777" w:rsidR="008A340A" w:rsidRDefault="00D965BB">
      <w:pPr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Voditelj pravnih poslova HSSMS-MT: </w:t>
      </w:r>
    </w:p>
    <w:p w14:paraId="00000021" w14:textId="77777777" w:rsidR="008A340A" w:rsidRDefault="00D965BB">
      <w:pPr>
        <w:spacing w:after="0"/>
        <w:jc w:val="right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Nataša Matejaš Brlić,</w:t>
      </w:r>
      <w:r>
        <w:rPr>
          <w:sz w:val="24"/>
          <w:szCs w:val="24"/>
          <w:highlight w:val="white"/>
        </w:rPr>
        <w:t xml:space="preserve"> dipl. iur.</w:t>
      </w:r>
    </w:p>
    <w:p w14:paraId="00000022" w14:textId="77777777" w:rsidR="008A340A" w:rsidRDefault="008A340A">
      <w:pPr>
        <w:spacing w:after="0"/>
        <w:jc w:val="both"/>
        <w:rPr>
          <w:sz w:val="24"/>
          <w:szCs w:val="24"/>
          <w:highlight w:val="white"/>
        </w:rPr>
      </w:pPr>
    </w:p>
    <w:sectPr w:rsidR="008A340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340A"/>
    <w:rsid w:val="008A340A"/>
    <w:rsid w:val="00D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usinfo.hr/zakonodavstvo/PR2022B56A800" TargetMode="External"/><Relationship Id="rId5" Type="http://schemas.openxmlformats.org/officeDocument/2006/relationships/hyperlink" Target="https://www.iusinfo.hr/zakonodavstvo/PR2022B56A800/clanak-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2</cp:revision>
  <dcterms:created xsi:type="dcterms:W3CDTF">2024-01-19T18:52:00Z</dcterms:created>
  <dcterms:modified xsi:type="dcterms:W3CDTF">2024-01-19T18:52:00Z</dcterms:modified>
</cp:coreProperties>
</file>